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57" w:rsidRDefault="00ED0A57" w:rsidP="00ED0A57">
      <w:pPr>
        <w:ind w:left="360"/>
        <w:rPr>
          <w:b/>
        </w:rPr>
      </w:pPr>
      <w:r>
        <w:rPr>
          <w:b/>
        </w:rPr>
        <w:t>Appendix 3 – Enforcement Statistics</w:t>
      </w:r>
    </w:p>
    <w:p w:rsidR="00ED0A57" w:rsidRDefault="00ED0A57" w:rsidP="00ED0A57">
      <w:pPr>
        <w:ind w:left="360"/>
        <w:rPr>
          <w:b/>
        </w:rPr>
      </w:pPr>
    </w:p>
    <w:p w:rsidR="00ED0A57" w:rsidRDefault="00ED0A57" w:rsidP="00ED0A57">
      <w:pPr>
        <w:ind w:left="360"/>
        <w:rPr>
          <w:b/>
        </w:rPr>
      </w:pPr>
      <w:r>
        <w:rPr>
          <w:b/>
        </w:rPr>
        <w:t>Figure 1 – Total number of Notices/ Orders served</w:t>
      </w:r>
    </w:p>
    <w:p w:rsidR="00ED0A57" w:rsidRDefault="00ED0A57" w:rsidP="00ED0A57">
      <w:pPr>
        <w:ind w:left="360"/>
        <w:rPr>
          <w:b/>
        </w:rPr>
      </w:pPr>
    </w:p>
    <w:p w:rsidR="00ED0A57" w:rsidRDefault="00ED0A57" w:rsidP="00ED0A57">
      <w:pPr>
        <w:ind w:left="360"/>
        <w:rPr>
          <w:b/>
        </w:rPr>
      </w:pPr>
      <w:r>
        <w:rPr>
          <w:noProof/>
          <w:lang w:eastAsia="en-GB"/>
        </w:rPr>
        <w:drawing>
          <wp:inline distT="0" distB="0" distL="0" distR="0" wp14:anchorId="0CA3FC12" wp14:editId="0A09F996">
            <wp:extent cx="5638800" cy="3619500"/>
            <wp:effectExtent l="0" t="0" r="19050" b="1905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0A57" w:rsidRDefault="00ED0A57" w:rsidP="00ED0A57">
      <w:pPr>
        <w:ind w:left="360"/>
        <w:rPr>
          <w:b/>
        </w:rPr>
      </w:pPr>
    </w:p>
    <w:p w:rsidR="00ED0A57" w:rsidRDefault="00ED0A57" w:rsidP="00ED0A57">
      <w:pPr>
        <w:ind w:left="360"/>
        <w:rPr>
          <w:b/>
        </w:rPr>
      </w:pPr>
      <w:r>
        <w:rPr>
          <w:noProof/>
          <w:lang w:eastAsia="en-GB"/>
        </w:rPr>
        <w:drawing>
          <wp:inline distT="0" distB="0" distL="0" distR="0" wp14:anchorId="3BB8A810" wp14:editId="36144CF9">
            <wp:extent cx="5638800" cy="37052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0A57" w:rsidRDefault="00ED0A57" w:rsidP="00ED0A57">
      <w:pPr>
        <w:ind w:left="360"/>
        <w:rPr>
          <w:b/>
        </w:rPr>
      </w:pPr>
    </w:p>
    <w:p w:rsidR="00ED0A57" w:rsidRDefault="00ED0A57" w:rsidP="00ED0A57">
      <w:pPr>
        <w:ind w:left="360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3D9BA28" wp14:editId="12C7783C">
            <wp:extent cx="5267325" cy="33813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0A57" w:rsidRDefault="00ED0A57" w:rsidP="00ED0A57">
      <w:pPr>
        <w:ind w:left="360"/>
        <w:rPr>
          <w:b/>
        </w:rPr>
      </w:pPr>
    </w:p>
    <w:p w:rsidR="008A22C6" w:rsidRPr="008A22C6" w:rsidRDefault="008A22C6" w:rsidP="008A22C6"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57"/>
    <w:rsid w:val="000B4310"/>
    <w:rsid w:val="004000D7"/>
    <w:rsid w:val="004840A9"/>
    <w:rsid w:val="00504E43"/>
    <w:rsid w:val="007908F4"/>
    <w:rsid w:val="008A22C6"/>
    <w:rsid w:val="00C07F80"/>
    <w:rsid w:val="00ED0A5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oxfordshire.gov.uk\Users\A-B\Adrian.Chowns\RP%20Notices%20Served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16-v-fls-pl-89\Home_Folder_1\A-B\Adrian.Chowns\HMO%20Enforcement%20Team\HMO%20Licensing\Enforcement\HMO%20ENF%20prosecutions%20list%20August%202016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3"/>
          <c:order val="0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Served'!$F$6:$G$6</c:f>
            </c:numRef>
          </c:val>
        </c:ser>
        <c:ser>
          <c:idx val="4"/>
          <c:order val="1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Served'!$F$7:$G$7</c:f>
            </c:numRef>
          </c:val>
        </c:ser>
        <c:ser>
          <c:idx val="5"/>
          <c:order val="2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Served'!$F$8:$G$8</c:f>
            </c:numRef>
          </c:val>
        </c:ser>
        <c:ser>
          <c:idx val="6"/>
          <c:order val="3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Served'!$F$9:$G$9</c:f>
            </c:numRef>
          </c:val>
        </c:ser>
        <c:ser>
          <c:idx val="7"/>
          <c:order val="4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Served'!$F$10:$G$10</c:f>
            </c:numRef>
          </c:val>
        </c:ser>
        <c:ser>
          <c:idx val="8"/>
          <c:order val="5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Served'!$F$11:$G$11</c:f>
            </c:numRef>
          </c:val>
        </c:ser>
        <c:ser>
          <c:idx val="9"/>
          <c:order val="6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Served'!$F$12:$G$12</c:f>
            </c:numRef>
          </c:val>
        </c:ser>
        <c:ser>
          <c:idx val="10"/>
          <c:order val="7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Served'!$F$13:$G$13</c:f>
            </c:numRef>
          </c:val>
        </c:ser>
        <c:ser>
          <c:idx val="11"/>
          <c:order val="8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Served'!$F$14:$G$14</c:f>
            </c:numRef>
          </c:val>
        </c:ser>
        <c:ser>
          <c:idx val="12"/>
          <c:order val="9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Served'!$F$15:$G$15</c:f>
            </c:numRef>
          </c:val>
        </c:ser>
        <c:ser>
          <c:idx val="13"/>
          <c:order val="10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Served'!$F$16:$G$16</c:f>
            </c:numRef>
          </c:val>
        </c:ser>
        <c:ser>
          <c:idx val="14"/>
          <c:order val="11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Served'!$F$17:$G$17</c:f>
            </c:numRef>
          </c:val>
        </c:ser>
        <c:ser>
          <c:idx val="15"/>
          <c:order val="12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Served'!$F$18:$G$18</c:f>
            </c:numRef>
          </c:val>
        </c:ser>
        <c:ser>
          <c:idx val="16"/>
          <c:order val="13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Served'!$F$19:$G$19</c:f>
            </c:numRef>
          </c:val>
        </c:ser>
        <c:ser>
          <c:idx val="17"/>
          <c:order val="14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Served'!$F$20:$G$20</c:f>
            </c:numRef>
          </c:val>
        </c:ser>
        <c:ser>
          <c:idx val="18"/>
          <c:order val="15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Served'!$F$21:$G$21</c:f>
            </c:numRef>
          </c:val>
        </c:ser>
        <c:ser>
          <c:idx val="19"/>
          <c:order val="16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Served'!$F$22:$G$22</c:f>
            </c:numRef>
          </c:val>
        </c:ser>
        <c:ser>
          <c:idx val="20"/>
          <c:order val="17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Served'!$F$23:$G$23</c:f>
            </c:numRef>
          </c:val>
        </c:ser>
        <c:ser>
          <c:idx val="21"/>
          <c:order val="18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Served'!$F$24:$G$24</c:f>
            </c:numRef>
          </c:val>
        </c:ser>
        <c:ser>
          <c:idx val="22"/>
          <c:order val="19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Served'!$F$25:$G$25</c:f>
            </c:numRef>
          </c:val>
        </c:ser>
        <c:ser>
          <c:idx val="23"/>
          <c:order val="20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Served'!$F$26:$G$26</c:f>
            </c:numRef>
          </c:val>
        </c:ser>
        <c:ser>
          <c:idx val="24"/>
          <c:order val="21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Served'!$F$27:$G$27</c:f>
            </c:numRef>
          </c:val>
        </c:ser>
        <c:ser>
          <c:idx val="25"/>
          <c:order val="22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Served'!$F$28:$G$28</c:f>
            </c:numRef>
          </c:val>
        </c:ser>
        <c:ser>
          <c:idx val="26"/>
          <c:order val="23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Served'!$F$29:$G$29</c:f>
            </c:numRef>
          </c:val>
        </c:ser>
        <c:ser>
          <c:idx val="27"/>
          <c:order val="24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Served'!$F$30:$G$30</c:f>
            </c:numRef>
          </c:val>
        </c:ser>
        <c:ser>
          <c:idx val="28"/>
          <c:order val="25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Served'!$F$31:$G$31</c:f>
            </c:numRef>
          </c:val>
        </c:ser>
        <c:ser>
          <c:idx val="29"/>
          <c:order val="26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Served'!$F$32:$G$32</c:f>
            </c:numRef>
          </c:val>
        </c:ser>
        <c:ser>
          <c:idx val="30"/>
          <c:order val="27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Served'!$F$33:$G$33</c:f>
            </c:numRef>
          </c:val>
        </c:ser>
        <c:ser>
          <c:idx val="31"/>
          <c:order val="28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Served'!$F$34:$G$34</c:f>
            </c:numRef>
          </c:val>
        </c:ser>
        <c:ser>
          <c:idx val="32"/>
          <c:order val="29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Served'!$F$35:$G$35</c:f>
            </c:numRef>
          </c:val>
        </c:ser>
        <c:ser>
          <c:idx val="33"/>
          <c:order val="30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Served'!$F$36:$G$36</c:f>
            </c:numRef>
          </c:val>
        </c:ser>
        <c:ser>
          <c:idx val="34"/>
          <c:order val="31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Served'!$F$37:$G$37</c:f>
            </c:numRef>
          </c:val>
        </c:ser>
        <c:ser>
          <c:idx val="35"/>
          <c:order val="32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Served'!$F$38:$G$38</c:f>
            </c:numRef>
          </c:val>
        </c:ser>
        <c:ser>
          <c:idx val="36"/>
          <c:order val="33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Served'!$F$39:$G$39</c:f>
            </c:numRef>
          </c:val>
        </c:ser>
        <c:ser>
          <c:idx val="37"/>
          <c:order val="34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Served'!$F$40:$G$40</c:f>
            </c:numRef>
          </c:val>
        </c:ser>
        <c:ser>
          <c:idx val="38"/>
          <c:order val="35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Served'!$F$41:$G$41</c:f>
            </c:numRef>
          </c:val>
        </c:ser>
        <c:ser>
          <c:idx val="39"/>
          <c:order val="36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Served'!$F$42:$G$42</c:f>
            </c:numRef>
          </c:val>
        </c:ser>
        <c:ser>
          <c:idx val="40"/>
          <c:order val="37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Served'!$F$43:$G$43</c:f>
            </c:numRef>
          </c:val>
        </c:ser>
        <c:ser>
          <c:idx val="41"/>
          <c:order val="38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Served'!$F$44:$G$44</c:f>
            </c:numRef>
          </c:val>
        </c:ser>
        <c:ser>
          <c:idx val="42"/>
          <c:order val="39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Served'!$F$45:$G$45</c:f>
            </c:numRef>
          </c:val>
        </c:ser>
        <c:ser>
          <c:idx val="43"/>
          <c:order val="40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Served'!$F$46:$G$46</c:f>
            </c:numRef>
          </c:val>
        </c:ser>
        <c:ser>
          <c:idx val="44"/>
          <c:order val="41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Served'!$F$47:$G$47</c:f>
            </c:numRef>
          </c:val>
        </c:ser>
        <c:ser>
          <c:idx val="45"/>
          <c:order val="42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Served'!$F$48:$G$48</c:f>
            </c:numRef>
          </c:val>
        </c:ser>
        <c:ser>
          <c:idx val="46"/>
          <c:order val="43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Served'!$F$49:$G$49</c:f>
            </c:numRef>
          </c:val>
        </c:ser>
        <c:ser>
          <c:idx val="47"/>
          <c:order val="44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Served'!$F$50:$G$50</c:f>
            </c:numRef>
          </c:val>
        </c:ser>
        <c:ser>
          <c:idx val="48"/>
          <c:order val="45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Served'!$F$51:$G$51</c:f>
            </c:numRef>
          </c:val>
        </c:ser>
        <c:ser>
          <c:idx val="49"/>
          <c:order val="46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Served'!$F$52:$G$52</c:f>
            </c:numRef>
          </c:val>
        </c:ser>
        <c:ser>
          <c:idx val="50"/>
          <c:order val="47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Served'!$F$53:$G$53</c:f>
            </c:numRef>
          </c:val>
        </c:ser>
        <c:ser>
          <c:idx val="51"/>
          <c:order val="48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Served'!$F$54:$G$54</c:f>
            </c:numRef>
          </c:val>
        </c:ser>
        <c:ser>
          <c:idx val="52"/>
          <c:order val="49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Served'!$F$55:$G$55</c:f>
            </c:numRef>
          </c:val>
        </c:ser>
        <c:ser>
          <c:idx val="53"/>
          <c:order val="50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Served'!$F$56:$G$56</c:f>
            </c:numRef>
          </c:val>
        </c:ser>
        <c:ser>
          <c:idx val="54"/>
          <c:order val="51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Served'!$F$57:$G$57</c:f>
            </c:numRef>
          </c:val>
        </c:ser>
        <c:ser>
          <c:idx val="55"/>
          <c:order val="52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Served'!$F$58:$G$58</c:f>
            </c:numRef>
          </c:val>
        </c:ser>
        <c:ser>
          <c:idx val="56"/>
          <c:order val="53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Served'!$F$59:$G$59</c:f>
            </c:numRef>
          </c:val>
        </c:ser>
        <c:ser>
          <c:idx val="57"/>
          <c:order val="54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Served'!$F$60:$G$60</c:f>
            </c:numRef>
          </c:val>
        </c:ser>
        <c:ser>
          <c:idx val="58"/>
          <c:order val="55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Served'!$F$61:$G$61</c:f>
            </c:numRef>
          </c:val>
        </c:ser>
        <c:ser>
          <c:idx val="59"/>
          <c:order val="56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Served'!$F$62:$G$62</c:f>
            </c:numRef>
          </c:val>
        </c:ser>
        <c:ser>
          <c:idx val="60"/>
          <c:order val="57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Served'!$F$63:$G$63</c:f>
            </c:numRef>
          </c:val>
        </c:ser>
        <c:ser>
          <c:idx val="61"/>
          <c:order val="58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Served'!$F$64:$G$64</c:f>
            </c:numRef>
          </c:val>
        </c:ser>
        <c:ser>
          <c:idx val="62"/>
          <c:order val="59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Served'!$F$65:$G$65</c:f>
            </c:numRef>
          </c:val>
        </c:ser>
        <c:ser>
          <c:idx val="63"/>
          <c:order val="60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Served'!$F$66:$G$66</c:f>
            </c:numRef>
          </c:val>
        </c:ser>
        <c:ser>
          <c:idx val="64"/>
          <c:order val="61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Served'!$F$67:$G$67</c:f>
            </c:numRef>
          </c:val>
        </c:ser>
        <c:ser>
          <c:idx val="65"/>
          <c:order val="62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Served'!$F$68:$G$68</c:f>
            </c:numRef>
          </c:val>
        </c:ser>
        <c:ser>
          <c:idx val="66"/>
          <c:order val="63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Served'!$F$69:$G$69</c:f>
            </c:numRef>
          </c:val>
        </c:ser>
        <c:ser>
          <c:idx val="68"/>
          <c:order val="64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Served'!$F$71:$G$71</c:f>
            </c:numRef>
          </c:val>
        </c:ser>
        <c:ser>
          <c:idx val="69"/>
          <c:order val="65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Served'!$F$72:$G$72</c:f>
            </c:numRef>
          </c:val>
        </c:ser>
        <c:ser>
          <c:idx val="70"/>
          <c:order val="66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Served'!$F$73:$G$73</c:f>
            </c:numRef>
          </c:val>
        </c:ser>
        <c:ser>
          <c:idx val="71"/>
          <c:order val="67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Served'!$F$74:$G$74</c:f>
            </c:numRef>
          </c:val>
        </c:ser>
        <c:ser>
          <c:idx val="72"/>
          <c:order val="68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Served'!$F$75:$G$75</c:f>
            </c:numRef>
          </c:val>
        </c:ser>
        <c:ser>
          <c:idx val="73"/>
          <c:order val="69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Served'!$F$76:$G$76</c:f>
            </c:numRef>
          </c:val>
        </c:ser>
        <c:ser>
          <c:idx val="74"/>
          <c:order val="70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Served'!$F$77:$G$77</c:f>
            </c:numRef>
          </c:val>
        </c:ser>
        <c:ser>
          <c:idx val="75"/>
          <c:order val="71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Served'!$F$78:$G$78</c:f>
            </c:numRef>
          </c:val>
        </c:ser>
        <c:ser>
          <c:idx val="76"/>
          <c:order val="72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Served'!$F$79:$G$79</c:f>
            </c:numRef>
          </c:val>
        </c:ser>
        <c:ser>
          <c:idx val="77"/>
          <c:order val="73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Served'!$F$80:$G$80</c:f>
            </c:numRef>
          </c:val>
        </c:ser>
        <c:ser>
          <c:idx val="78"/>
          <c:order val="74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Served'!$F$81:$G$81</c:f>
            </c:numRef>
          </c:val>
        </c:ser>
        <c:ser>
          <c:idx val="79"/>
          <c:order val="75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Served'!$F$82:$G$82</c:f>
            </c:numRef>
          </c:val>
        </c:ser>
        <c:ser>
          <c:idx val="80"/>
          <c:order val="76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Served'!$F$83:$G$83</c:f>
            </c:numRef>
          </c:val>
        </c:ser>
        <c:ser>
          <c:idx val="81"/>
          <c:order val="77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Served'!$F$84:$G$84</c:f>
            </c:numRef>
          </c:val>
        </c:ser>
        <c:ser>
          <c:idx val="82"/>
          <c:order val="78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Served'!$F$85:$G$85</c:f>
            </c:numRef>
          </c:val>
        </c:ser>
        <c:ser>
          <c:idx val="83"/>
          <c:order val="79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Served'!$F$86:$G$86</c:f>
            </c:numRef>
          </c:val>
        </c:ser>
        <c:ser>
          <c:idx val="84"/>
          <c:order val="80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Served'!$F$87:$G$87</c:f>
            </c:numRef>
          </c:val>
        </c:ser>
        <c:ser>
          <c:idx val="85"/>
          <c:order val="81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Served'!$F$88:$G$88</c:f>
            </c:numRef>
          </c:val>
        </c:ser>
        <c:ser>
          <c:idx val="86"/>
          <c:order val="82"/>
          <c:invertIfNegative val="0"/>
          <c:cat>
            <c:strRef>
              <c:f>'RP Notices Served'!$F$4</c:f>
              <c:strCache>
                <c:ptCount val="1"/>
                <c:pt idx="0">
                  <c:v>Total number of notices served </c:v>
                </c:pt>
              </c:strCache>
            </c:strRef>
          </c:cat>
          <c:val>
            <c:numRef>
              <c:f>'RP Notices Served'!$F$89:$G$89</c:f>
            </c:numRef>
          </c:val>
        </c:ser>
        <c:ser>
          <c:idx val="0"/>
          <c:order val="83"/>
          <c:tx>
            <c:strRef>
              <c:f>'RP Notices Served'!$F$5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'RP Notices Served'!$G$5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84"/>
          <c:tx>
            <c:strRef>
              <c:f>'RP Notices Served'!$F$70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'RP Notices Served'!$G$70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85"/>
          <c:tx>
            <c:strRef>
              <c:f>'RP Notices Served'!$F$90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'RP Notices Served'!$G$90</c:f>
              <c:numCache>
                <c:formatCode>General</c:formatCode>
                <c:ptCount val="1"/>
                <c:pt idx="0">
                  <c:v>112</c:v>
                </c:pt>
              </c:numCache>
            </c:numRef>
          </c:val>
        </c:ser>
        <c:ser>
          <c:idx val="67"/>
          <c:order val="86"/>
          <c:tx>
            <c:strRef>
              <c:f>'RP Notices Served'!$F$91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'RP Notices Served'!$G$91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</c:ser>
        <c:ser>
          <c:idx val="87"/>
          <c:order val="87"/>
          <c:tx>
            <c:strRef>
              <c:f>'RP Notices Served'!$F$92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'RP Notices Served'!$G$92</c:f>
              <c:numCache>
                <c:formatCode>General</c:formatCode>
                <c:ptCount val="1"/>
                <c:pt idx="0">
                  <c:v>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106176"/>
        <c:axId val="285107712"/>
      </c:barChart>
      <c:catAx>
        <c:axId val="285106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5107712"/>
        <c:crosses val="autoZero"/>
        <c:auto val="1"/>
        <c:lblAlgn val="ctr"/>
        <c:lblOffset val="100"/>
        <c:noMultiLvlLbl val="0"/>
      </c:catAx>
      <c:valAx>
        <c:axId val="28510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106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Stats!$H$2</c:f>
              <c:strCache>
                <c:ptCount val="1"/>
                <c:pt idx="0">
                  <c:v>No. prosecutions (all)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Stats!$A$3:$A$8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Stats!$H$3:$H$8</c:f>
              <c:numCache>
                <c:formatCode>General</c:formatCode>
                <c:ptCount val="6"/>
                <c:pt idx="0" formatCode="0">
                  <c:v>5</c:v>
                </c:pt>
                <c:pt idx="1">
                  <c:v>10</c:v>
                </c:pt>
                <c:pt idx="2">
                  <c:v>9</c:v>
                </c:pt>
                <c:pt idx="3">
                  <c:v>14</c:v>
                </c:pt>
                <c:pt idx="4" formatCode="0">
                  <c:v>18</c:v>
                </c:pt>
                <c:pt idx="5" formatCode="0">
                  <c:v>25</c:v>
                </c:pt>
              </c:numCache>
            </c:numRef>
          </c:val>
        </c:ser>
        <c:ser>
          <c:idx val="4"/>
          <c:order val="1"/>
          <c:tx>
            <c:strRef>
              <c:f>Stats!$L$2</c:f>
              <c:strCache>
                <c:ptCount val="1"/>
                <c:pt idx="0">
                  <c:v>No. Cautions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Stats!$A$3:$A$8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Stats!$L$3:$L$8</c:f>
              <c:numCache>
                <c:formatCode>General</c:formatCode>
                <c:ptCount val="6"/>
                <c:pt idx="0">
                  <c:v>2</c:v>
                </c:pt>
                <c:pt idx="1">
                  <c:v>15</c:v>
                </c:pt>
                <c:pt idx="2">
                  <c:v>6</c:v>
                </c:pt>
                <c:pt idx="3">
                  <c:v>5</c:v>
                </c:pt>
                <c:pt idx="4">
                  <c:v>12</c:v>
                </c:pt>
                <c:pt idx="5">
                  <c:v>3</c:v>
                </c:pt>
              </c:numCache>
            </c:numRef>
          </c:val>
        </c:ser>
        <c:ser>
          <c:idx val="0"/>
          <c:order val="2"/>
          <c:tx>
            <c:strRef>
              <c:f>Stats!$I$2</c:f>
              <c:strCache>
                <c:ptCount val="1"/>
                <c:pt idx="0">
                  <c:v>TR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Stats!$A$3:$A$8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Stats!$I$3:$I$8</c:f>
              <c:numCache>
                <c:formatCode>0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1"/>
          <c:order val="3"/>
          <c:tx>
            <c:strRef>
              <c:f>Stats!$J$2</c:f>
              <c:strCache>
                <c:ptCount val="1"/>
                <c:pt idx="0">
                  <c:v>HMO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Stats!$A$3:$A$8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Stats!$J$3:$J$8</c:f>
              <c:numCache>
                <c:formatCode>0</c:formatCode>
                <c:ptCount val="6"/>
                <c:pt idx="0">
                  <c:v>4</c:v>
                </c:pt>
                <c:pt idx="1">
                  <c:v>9</c:v>
                </c:pt>
                <c:pt idx="2">
                  <c:v>8</c:v>
                </c:pt>
                <c:pt idx="3">
                  <c:v>12</c:v>
                </c:pt>
                <c:pt idx="4">
                  <c:v>15</c:v>
                </c:pt>
                <c:pt idx="5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810368"/>
        <c:axId val="252811904"/>
      </c:barChart>
      <c:catAx>
        <c:axId val="25281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811904"/>
        <c:crosses val="autoZero"/>
        <c:auto val="1"/>
        <c:lblAlgn val="ctr"/>
        <c:lblOffset val="100"/>
        <c:noMultiLvlLbl val="0"/>
      </c:catAx>
      <c:valAx>
        <c:axId val="25281190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52810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Number of offences prosecuted since</a:t>
            </a:r>
            <a:r>
              <a:rPr lang="en-US" baseline="0"/>
              <a:t> 2011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Stats!$C$39</c:f>
              <c:strCache>
                <c:ptCount val="1"/>
                <c:pt idx="0">
                  <c:v>prosecutions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6.82680157143296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Stats!$A$40:$A$47</c:f>
              <c:strCache>
                <c:ptCount val="8"/>
                <c:pt idx="0">
                  <c:v>Failure to licence</c:v>
                </c:pt>
                <c:pt idx="1">
                  <c:v>Over-occupation</c:v>
                </c:pt>
                <c:pt idx="2">
                  <c:v>Failure to comply with conditions</c:v>
                </c:pt>
                <c:pt idx="3">
                  <c:v>Failure to comply with Management Regulations</c:v>
                </c:pt>
                <c:pt idx="4">
                  <c:v>Failure to comply with Improvement Notice</c:v>
                </c:pt>
                <c:pt idx="5">
                  <c:v>Failure to return s16 notice</c:v>
                </c:pt>
                <c:pt idx="6">
                  <c:v>Failure to return s235 notice</c:v>
                </c:pt>
                <c:pt idx="7">
                  <c:v>Protection from eviction</c:v>
                </c:pt>
              </c:strCache>
            </c:strRef>
          </c:cat>
          <c:val>
            <c:numRef>
              <c:f>Stats!$C$40:$C$47</c:f>
              <c:numCache>
                <c:formatCode>0</c:formatCode>
                <c:ptCount val="8"/>
                <c:pt idx="0">
                  <c:v>45</c:v>
                </c:pt>
                <c:pt idx="1">
                  <c:v>2</c:v>
                </c:pt>
                <c:pt idx="2">
                  <c:v>6</c:v>
                </c:pt>
                <c:pt idx="3">
                  <c:v>49</c:v>
                </c:pt>
                <c:pt idx="4">
                  <c:v>1</c:v>
                </c:pt>
                <c:pt idx="5">
                  <c:v>13</c:v>
                </c:pt>
                <c:pt idx="6">
                  <c:v>6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782592"/>
        <c:axId val="284784128"/>
      </c:barChart>
      <c:catAx>
        <c:axId val="284782592"/>
        <c:scaling>
          <c:orientation val="minMax"/>
        </c:scaling>
        <c:delete val="0"/>
        <c:axPos val="l"/>
        <c:majorTickMark val="out"/>
        <c:minorTickMark val="none"/>
        <c:tickLblPos val="nextTo"/>
        <c:crossAx val="284784128"/>
        <c:crosses val="autoZero"/>
        <c:auto val="1"/>
        <c:lblAlgn val="ctr"/>
        <c:lblOffset val="100"/>
        <c:noMultiLvlLbl val="0"/>
      </c:catAx>
      <c:valAx>
        <c:axId val="284784128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2847825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0.08976</cdr:x>
      <cdr:y>0.03095</cdr:y>
    </cdr:from>
    <cdr:to>
      <cdr:x>0.63717</cdr:x>
      <cdr:y>0.18135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34906" y="188148"/>
          <a:ext cx="5091759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0.06574</cdr:x>
      <cdr:y>0.03095</cdr:y>
    </cdr:from>
    <cdr:to>
      <cdr:x>0.16405</cdr:x>
      <cdr:y>0.18135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1481" y="18814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800" b="1"/>
            <a:t>Total</a:t>
          </a:r>
          <a:r>
            <a:rPr lang="en-GB" sz="1800" b="1" baseline="0"/>
            <a:t> number of prosecutions and cautions since 2011</a:t>
          </a:r>
          <a:endParaRPr lang="en-GB" sz="18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4061-88CC-4EDD-AADB-C1FBFBD6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2016-10-31T12:13:00Z</dcterms:created>
  <dcterms:modified xsi:type="dcterms:W3CDTF">2016-10-31T12:16:00Z</dcterms:modified>
</cp:coreProperties>
</file>